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keepLines w:val="0"/>
        <w:spacing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Communication Audit</w:t>
      </w:r>
      <w:r w:rsidDel="00000000" w:rsidR="00000000" w:rsidRPr="00000000">
        <w:rPr>
          <w:rtl w:val="0"/>
        </w:rPr>
      </w:r>
    </w:p>
    <w:p w:rsidR="00000000" w:rsidDel="00000000" w:rsidP="00000000" w:rsidRDefault="00000000" w:rsidRPr="00000000" w14:paraId="0000000C">
      <w:pPr>
        <w:keepLines w:val="0"/>
        <w:spacing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keepLines w:val="0"/>
        <w:spacing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MEJO 332 Public Relations Writing</w:t>
      </w:r>
    </w:p>
    <w:p w:rsidR="00000000" w:rsidDel="00000000" w:rsidP="00000000" w:rsidRDefault="00000000" w:rsidRPr="00000000" w14:paraId="0000000F">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APPLES Client Portfolio</w:t>
      </w:r>
    </w:p>
    <w:p w:rsidR="00000000" w:rsidDel="00000000" w:rsidP="00000000" w:rsidRDefault="00000000" w:rsidRPr="00000000" w14:paraId="00000010">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Fill Your Bucket List Foundation</w:t>
      </w:r>
    </w:p>
    <w:p w:rsidR="00000000" w:rsidDel="00000000" w:rsidP="00000000" w:rsidRDefault="00000000" w:rsidRPr="00000000" w14:paraId="00000011">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Rachel HoTong, Amena Saad, Kayla Morrison, McCain Kerr, Hannah Griffin</w:t>
      </w:r>
    </w:p>
    <w:p w:rsidR="00000000" w:rsidDel="00000000" w:rsidP="00000000" w:rsidRDefault="00000000" w:rsidRPr="00000000" w14:paraId="00000012">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3">
      <w:pPr>
        <w:keepLines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April 24, 2020</w:t>
      </w:r>
    </w:p>
    <w:p w:rsidR="00000000" w:rsidDel="00000000" w:rsidP="00000000" w:rsidRDefault="00000000" w:rsidRPr="00000000" w14:paraId="00000014">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keepLines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9">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A">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B">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C">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D">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E">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F">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0">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1">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2">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3">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4">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5">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6">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7">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8">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9">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A">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B">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C">
      <w:pPr>
        <w:keepLines w:val="0"/>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D">
      <w:pPr>
        <w:keepLines w:val="0"/>
        <w:spacing w:line="480" w:lineRule="auto"/>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Background </w:t>
      </w:r>
    </w:p>
    <w:p w:rsidR="00000000" w:rsidDel="00000000" w:rsidP="00000000" w:rsidRDefault="00000000" w:rsidRPr="00000000" w14:paraId="0000002E">
      <w:pPr>
        <w:keepLines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Your Bucket List Foundation is a 501(c)(3), tax-exempt, nonprofit organization. It is located in Cary, North Carolina and grants wishes to adults with cancer and their families. FYBLF helps cancer patients create lasting memories with their loved ones. It has granted over 154 wishes to date and touched over 900 lives including family members and friends. FYBLF picks up where wish-granting organizations for children leave off. It serves adults 18 and older who live in or are being treated in North Carolina. </w:t>
      </w:r>
    </w:p>
    <w:p w:rsidR="00000000" w:rsidDel="00000000" w:rsidP="00000000" w:rsidRDefault="00000000" w:rsidRPr="00000000" w14:paraId="0000002F">
      <w:pPr>
        <w:keepLines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was founded in 2014 by oncology patient advocate, Peggy Gibson Carroll. She encouraged her father to write down a bucket list of things he wanted to accomplish after he was diagnosed with cancer. Carroll saw the impact of those memories shared with her father in his last moments. She wanted to help other adults with cancer fulfill their dreams and make memories without worry of cost or details so she created the Fill Your Bucket List.</w:t>
      </w:r>
    </w:p>
    <w:p w:rsidR="00000000" w:rsidDel="00000000" w:rsidP="00000000" w:rsidRDefault="00000000" w:rsidRPr="00000000" w14:paraId="00000030">
      <w:pPr>
        <w:keepLines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has an active social media presence. It utilizes Facebook and Instagram as its most active tools, as well as Youtube and Twitter. The Foundation uses Facebook as a tool to share its content as well as inspiring stories. The primary goal of its external communication is to inform and attract volunteers and donors. The organization also posts past wishes to its website gallery. FYBLF was active in local news articles as well as broadcast features during 2018.</w:t>
      </w:r>
    </w:p>
    <w:p w:rsidR="00000000" w:rsidDel="00000000" w:rsidP="00000000" w:rsidRDefault="00000000" w:rsidRPr="00000000" w14:paraId="00000031">
      <w:pPr>
        <w:keepLines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FYBLF has three full-time employees, 12 board members and five members on the advisory board. Marie Duncan Otto is the executive director and oversees daily operations. Caroline Farmer serves as the community engagement coordinator and is responsible for most of the marketing and communications. Jenny Fowle is the wish manager and she oversees the planning and execution of each wish. </w:t>
      </w:r>
    </w:p>
    <w:p w:rsidR="00000000" w:rsidDel="00000000" w:rsidP="00000000" w:rsidRDefault="00000000" w:rsidRPr="00000000" w14:paraId="00000032">
      <w:pPr>
        <w:keepLines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best understand the results of this communication audit, we must first start with the context. After sending out the survey to the staff at Fill Your Bucket List to acquire quantitative data to analyze, only two responses were given. We recognize that this is not a significant amount of responses to create an accurate conclusion about the quality of internal communication at the organization, however we will move forward with the communication audit as if it were significant. </w:t>
      </w:r>
    </w:p>
    <w:p w:rsidR="00000000" w:rsidDel="00000000" w:rsidP="00000000" w:rsidRDefault="00000000" w:rsidRPr="00000000" w14:paraId="00000033">
      <w:pPr>
        <w:keepLines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Lines w:val="0"/>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SWOT Analysis</w:t>
      </w:r>
    </w:p>
    <w:p w:rsidR="00000000" w:rsidDel="00000000" w:rsidP="00000000" w:rsidRDefault="00000000" w:rsidRPr="00000000" w14:paraId="00000035">
      <w:pPr>
        <w:keepLines w:val="0"/>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Strengths </w:t>
      </w:r>
    </w:p>
    <w:p w:rsidR="00000000" w:rsidDel="00000000" w:rsidP="00000000" w:rsidRDefault="00000000" w:rsidRPr="00000000" w14:paraId="00000036">
      <w:pPr>
        <w:keepLines w:val="0"/>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internal avenues of communication  including text, email, Google Calendar, and conference calls.</w:t>
      </w:r>
    </w:p>
    <w:p w:rsidR="00000000" w:rsidDel="00000000" w:rsidP="00000000" w:rsidRDefault="00000000" w:rsidRPr="00000000" w14:paraId="00000037">
      <w:pPr>
        <w:keepLines w:val="0"/>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External communication is present on various social media platforms which increases engagement between FYBLF and different stakeholders.</w:t>
      </w:r>
    </w:p>
    <w:p w:rsidR="00000000" w:rsidDel="00000000" w:rsidP="00000000" w:rsidRDefault="00000000" w:rsidRPr="00000000" w14:paraId="00000038">
      <w:pPr>
        <w:keepLines w:val="0"/>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Details each granted wish on the blog which show potential donors how their generosity will directly benefit cancer patients in unique ways.</w:t>
      </w:r>
    </w:p>
    <w:p w:rsidR="00000000" w:rsidDel="00000000" w:rsidP="00000000" w:rsidRDefault="00000000" w:rsidRPr="00000000" w14:paraId="00000039">
      <w:pPr>
        <w:keepLines w:val="0"/>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FYBLF differentiates Instagram and Facebook content to best suit the audience of each platform. </w:t>
      </w:r>
    </w:p>
    <w:p w:rsidR="00000000" w:rsidDel="00000000" w:rsidP="00000000" w:rsidRDefault="00000000" w:rsidRPr="00000000" w14:paraId="0000003A">
      <w:pPr>
        <w:keepLines w:val="0"/>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Posts to social media consistently at least once a week. Posts both highlight exciting news and honors past wish recipients</w:t>
      </w:r>
    </w:p>
    <w:p w:rsidR="00000000" w:rsidDel="00000000" w:rsidP="00000000" w:rsidRDefault="00000000" w:rsidRPr="00000000" w14:paraId="0000003B">
      <w:pPr>
        <w:keepLines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Lines w:val="0"/>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Weaknesses </w:t>
        <w:tab/>
      </w:r>
    </w:p>
    <w:p w:rsidR="00000000" w:rsidDel="00000000" w:rsidP="00000000" w:rsidRDefault="00000000" w:rsidRPr="00000000" w14:paraId="0000003D">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shows a misperception across employees regarding the primary purpose of FYBLF’s external communication, potentially leading to the disunification of any future external communication efforts.</w:t>
      </w:r>
    </w:p>
    <w:p w:rsidR="00000000" w:rsidDel="00000000" w:rsidP="00000000" w:rsidRDefault="00000000" w:rsidRPr="00000000" w14:paraId="0000003E">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every participant could answer on the organization’s presence or non-presence of a coordinated graphic identity, possibly leading to inconsistencies in future branding. </w:t>
      </w:r>
    </w:p>
    <w:p w:rsidR="00000000" w:rsidDel="00000000" w:rsidP="00000000" w:rsidRDefault="00000000" w:rsidRPr="00000000" w14:paraId="0000003F">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participants mentioned that in previous years, communication roles had fallen upon multiple individuals, leading to issues in the timing of external communications. While it was reported that this is beginning to be resolved, it is important to remain cognizant of as it could negatively impact communication effectiveness. </w:t>
      </w:r>
    </w:p>
    <w:p w:rsidR="00000000" w:rsidDel="00000000" w:rsidP="00000000" w:rsidRDefault="00000000" w:rsidRPr="00000000" w14:paraId="00000040">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Volunteers do not have a proper channel to find out how they can be involved. On the website there is no sign-up page besides an email contact for volunteers.</w:t>
      </w:r>
    </w:p>
    <w:p w:rsidR="00000000" w:rsidDel="00000000" w:rsidP="00000000" w:rsidRDefault="00000000" w:rsidRPr="00000000" w14:paraId="00000041">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Facebook and Instagram have a small following. On average, posts receive less than 20 likes. FYBLF does not typically engage with followers and comments.</w:t>
      </w:r>
    </w:p>
    <w:p w:rsidR="00000000" w:rsidDel="00000000" w:rsidP="00000000" w:rsidRDefault="00000000" w:rsidRPr="00000000" w14:paraId="00000042">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a news media section on the website but it is not updated.</w:t>
      </w:r>
    </w:p>
    <w:p w:rsidR="00000000" w:rsidDel="00000000" w:rsidP="00000000" w:rsidRDefault="00000000" w:rsidRPr="00000000" w14:paraId="00000043">
      <w:pPr>
        <w:keepLines w:val="0"/>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media links at the bottom of the FYBLF website are cluttered and difficult to sift through. They are also not clearly labeled and could thus potentially create confusion.</w:t>
      </w:r>
    </w:p>
    <w:p w:rsidR="00000000" w:rsidDel="00000000" w:rsidP="00000000" w:rsidRDefault="00000000" w:rsidRPr="00000000" w14:paraId="00000044">
      <w:pPr>
        <w:keepLines w:val="0"/>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Opportunities</w:t>
      </w: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45">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FYBLF can reach out to large corporations that already donate to the Make A Wish Foundation. These national corporations have dedicated funds for the social responsibility and public relations aspects of its own industries. If a company donates to Make-A-Wish, it is likely it would donate to FYBLF.</w:t>
      </w:r>
    </w:p>
    <w:p w:rsidR="00000000" w:rsidDel="00000000" w:rsidP="00000000" w:rsidRDefault="00000000" w:rsidRPr="00000000" w14:paraId="00000046">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COVID-19 virus has run its course, Americans will want to get out of their homes and participate in outdoor activities. Volunteers will be looking for organizations for which to grant their time. As cancer still strikes during the virus outbreak, there are an abundance of people affected by cancer who need help.</w:t>
      </w:r>
    </w:p>
    <w:p w:rsidR="00000000" w:rsidDel="00000000" w:rsidP="00000000" w:rsidRDefault="00000000" w:rsidRPr="00000000" w14:paraId="00000047">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platforms create easy access for organizations to share its mission and events in the community. As the 22-A-Day platform for pushups reflects assisting soldiers suffering from mental illness, a hashtag or similar campaign could be used for FYBLF.</w:t>
      </w:r>
      <w:r w:rsidDel="00000000" w:rsidR="00000000" w:rsidRPr="00000000">
        <w:rPr>
          <w:rtl w:val="0"/>
        </w:rPr>
      </w:r>
    </w:p>
    <w:p w:rsidR="00000000" w:rsidDel="00000000" w:rsidP="00000000" w:rsidRDefault="00000000" w:rsidRPr="00000000" w14:paraId="00000048">
      <w:pPr>
        <w:keepLines w:val="0"/>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Threats</w:t>
      </w:r>
    </w:p>
    <w:p w:rsidR="00000000" w:rsidDel="00000000" w:rsidP="00000000" w:rsidRDefault="00000000" w:rsidRPr="00000000" w14:paraId="00000049">
      <w:pPr>
        <w:keepLines w:val="0"/>
        <w:numPr>
          <w:ilvl w:val="0"/>
          <w:numId w:val="1"/>
        </w:numPr>
        <w:spacing w:line="48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sz w:val="24"/>
          <w:szCs w:val="24"/>
          <w:rtl w:val="0"/>
        </w:rPr>
        <w:t xml:space="preserve">FYBLF demonstrates weak internal communication. This will likely inhibit the organization from reaching its potential for internal growth, as the issue of poor task delegation has yet to be resolved.</w:t>
      </w:r>
    </w:p>
    <w:p w:rsidR="00000000" w:rsidDel="00000000" w:rsidP="00000000" w:rsidRDefault="00000000" w:rsidRPr="00000000" w14:paraId="0000004A">
      <w:pPr>
        <w:keepLines w:val="0"/>
        <w:numPr>
          <w:ilvl w:val="0"/>
          <w:numId w:val="1"/>
        </w:numPr>
        <w:spacing w:line="48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sz w:val="24"/>
          <w:szCs w:val="24"/>
          <w:rtl w:val="0"/>
        </w:rPr>
        <w:t xml:space="preserve">The lack of an established brand identity (survey respondents do not consistently agree that there’s been a coordinated one) makes FYBLF appear less credible than more reputable non-profit competitors, like Make-A-Wish.</w:t>
      </w:r>
    </w:p>
    <w:p w:rsidR="00000000" w:rsidDel="00000000" w:rsidP="00000000" w:rsidRDefault="00000000" w:rsidRPr="00000000" w14:paraId="0000004B">
      <w:pPr>
        <w:keepLines w:val="0"/>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Because not all areas of the website are updated, it may lead potential wish nominators to seek the services of competitors instead, expecting more prompt/thorough responses. Websites are often seen as a reflection of the entire organization. </w:t>
      </w:r>
    </w:p>
    <w:p w:rsidR="00000000" w:rsidDel="00000000" w:rsidP="00000000" w:rsidRDefault="00000000" w:rsidRPr="00000000" w14:paraId="0000004C">
      <w:pPr>
        <w:keepLines w:val="0"/>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Because there is no direct channel for potential volunteers, they may seek other outlets for service. Over 40% of public charities rely on volunteers to operate, so it would not be difficult for them to find other worthy causes to support or contribute to.</w:t>
      </w:r>
    </w:p>
    <w:p w:rsidR="00000000" w:rsidDel="00000000" w:rsidP="00000000" w:rsidRDefault="00000000" w:rsidRPr="00000000" w14:paraId="0000004D">
      <w:pPr>
        <w:keepLines w:val="0"/>
        <w:numPr>
          <w:ilvl w:val="0"/>
          <w:numId w:val="1"/>
        </w:numPr>
        <w:spacing w:line="48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sz w:val="24"/>
          <w:szCs w:val="24"/>
          <w:rtl w:val="0"/>
        </w:rPr>
        <w:t xml:space="preserve">COVID-19 presents a significant threat to FYBLF’s annual fundraising efforts. The annual Bucket Bash serves as the foundation’s primary source of funds, and has been cancelled due to health and safety concerns regarding the virus.</w:t>
      </w:r>
    </w:p>
    <w:p w:rsidR="00000000" w:rsidDel="00000000" w:rsidP="00000000" w:rsidRDefault="00000000" w:rsidRPr="00000000" w14:paraId="0000004E">
      <w:pPr>
        <w:keepLines w:val="0"/>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Recommendations</w:t>
      </w:r>
      <w:r w:rsidDel="00000000" w:rsidR="00000000" w:rsidRPr="00000000">
        <w:rPr>
          <w:rtl w:val="0"/>
        </w:rPr>
      </w:r>
    </w:p>
    <w:p w:rsidR="00000000" w:rsidDel="00000000" w:rsidP="00000000" w:rsidRDefault="00000000" w:rsidRPr="00000000" w14:paraId="0000004F">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Re-establish the organization’s key purpose when communicating externally. According to the survey, some felt it was to attract new donors/volunteers, while others felt it was to inform existing ones. Resolving this misconception will prevent the potentiality of uncoordinated communication efforts in the future.</w:t>
      </w:r>
    </w:p>
    <w:p w:rsidR="00000000" w:rsidDel="00000000" w:rsidP="00000000" w:rsidRDefault="00000000" w:rsidRPr="00000000" w14:paraId="00000050">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 with followers. Perhaps encourage engagement through give-aways, creative posts that encourage interactivity, or volunteer spotlights.</w:t>
      </w:r>
    </w:p>
    <w:p w:rsidR="00000000" w:rsidDel="00000000" w:rsidP="00000000" w:rsidRDefault="00000000" w:rsidRPr="00000000" w14:paraId="00000051">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Designate someone to respond to social media comments and thank the community for sharing. Shares on Facebook are a great method to reach target </w:t>
      </w:r>
      <w:r w:rsidDel="00000000" w:rsidR="00000000" w:rsidRPr="00000000">
        <w:rPr>
          <w:rFonts w:ascii="Times New Roman" w:cs="Times New Roman" w:eastAsia="Times New Roman" w:hAnsi="Times New Roman"/>
          <w:sz w:val="24"/>
          <w:szCs w:val="24"/>
          <w:rtl w:val="0"/>
        </w:rPr>
        <w:t xml:space="preserve">publics</w:t>
      </w:r>
      <w:r w:rsidDel="00000000" w:rsidR="00000000" w:rsidRPr="00000000">
        <w:rPr>
          <w:rFonts w:ascii="Times New Roman" w:cs="Times New Roman" w:eastAsia="Times New Roman" w:hAnsi="Times New Roman"/>
          <w:sz w:val="24"/>
          <w:szCs w:val="24"/>
          <w:rtl w:val="0"/>
        </w:rPr>
        <w:t xml:space="preserve">, including volunteers and donors.</w:t>
      </w:r>
    </w:p>
    <w:p w:rsidR="00000000" w:rsidDel="00000000" w:rsidP="00000000" w:rsidRDefault="00000000" w:rsidRPr="00000000" w14:paraId="00000052">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Utilize Instagram and Facebook stories to share less curated content. This can include behind the scenes content at the Foundation, pictures from the community, and encouraging messages. </w:t>
      </w:r>
    </w:p>
    <w:p w:rsidR="00000000" w:rsidDel="00000000" w:rsidP="00000000" w:rsidRDefault="00000000" w:rsidRPr="00000000" w14:paraId="00000053">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 with the media through press-focused external communications. Be sure to update news stories regarding FYBLF on the website once coverage occurs. Publicize any press coverage on social media.</w:t>
      </w:r>
    </w:p>
    <w:p w:rsidR="00000000" w:rsidDel="00000000" w:rsidP="00000000" w:rsidRDefault="00000000" w:rsidRPr="00000000" w14:paraId="00000054">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 an updated press kit on the website.</w:t>
      </w:r>
    </w:p>
    <w:p w:rsidR="00000000" w:rsidDel="00000000" w:rsidP="00000000" w:rsidRDefault="00000000" w:rsidRPr="00000000" w14:paraId="00000055">
      <w:pPr>
        <w:keepLines w:val="0"/>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Show only 3-4 of the most recent social media posts on the website. This will create a cleaner visual aesthetic and a more professional look.</w:t>
      </w:r>
    </w:p>
    <w:p w:rsidR="00000000" w:rsidDel="00000000" w:rsidP="00000000" w:rsidRDefault="00000000" w:rsidRPr="00000000" w14:paraId="00000056">
      <w:pPr>
        <w:rPr>
          <w:rFonts w:ascii="Cambria" w:cs="Cambria" w:eastAsia="Cambria" w:hAnsi="Cambria"/>
          <w:b w:val="1"/>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